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DE32" w14:textId="77777777" w:rsidR="0094742D" w:rsidRPr="006D79C4" w:rsidRDefault="0094742D" w:rsidP="00483DF3">
      <w:pPr>
        <w:spacing w:before="100" w:after="100"/>
        <w:rPr>
          <w:rFonts w:ascii="Arial" w:hAnsi="Arial" w:cs="Arial"/>
          <w:color w:val="1F497D" w:themeColor="text2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right" w:tblpY="1"/>
        <w:tblOverlap w:val="never"/>
        <w:tblW w:w="10094" w:type="dxa"/>
        <w:tblLayout w:type="fixed"/>
        <w:tblLook w:val="04E0" w:firstRow="1" w:lastRow="1" w:firstColumn="1" w:lastColumn="0" w:noHBand="0" w:noVBand="1"/>
      </w:tblPr>
      <w:tblGrid>
        <w:gridCol w:w="10094"/>
      </w:tblGrid>
      <w:tr w:rsidR="00342A2F" w:rsidRPr="00C872A7" w14:paraId="0EACBD9F" w14:textId="77777777" w:rsidTr="00AA5534">
        <w:trPr>
          <w:cantSplit/>
          <w:trHeight w:val="32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1E04D9" w14:textId="4DC76593" w:rsidR="00342A2F" w:rsidRPr="00161D9E" w:rsidRDefault="00DE0EAF" w:rsidP="00483DF3">
            <w:pPr>
              <w:tabs>
                <w:tab w:val="left" w:pos="2267"/>
              </w:tabs>
              <w:spacing w:before="100" w:after="10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61D9E"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en-GB"/>
              </w:rPr>
              <w:t>Education</w:t>
            </w:r>
          </w:p>
        </w:tc>
      </w:tr>
      <w:tr w:rsidR="00342A2F" w:rsidRPr="00C872A7" w14:paraId="5AE36F33" w14:textId="77777777" w:rsidTr="00AA5534">
        <w:trPr>
          <w:cantSplit/>
          <w:trHeight w:val="147"/>
        </w:trPr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902F6" w14:textId="67E04C00" w:rsidR="00342A2F" w:rsidRDefault="00342A2F" w:rsidP="00483DF3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3959F8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Master of Laws</w:t>
            </w:r>
            <w:r w:rsidR="00747F2E" w:rsidRPr="003959F8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 in Air and Space Law</w:t>
            </w:r>
            <w:r w:rsidR="00970D84"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>, M</w:t>
            </w:r>
            <w:r w:rsidR="00CC6D06">
              <w:rPr>
                <w:rFonts w:asciiTheme="majorHAnsi" w:hAnsiTheme="majorHAnsi" w:cs="Arial"/>
                <w:sz w:val="22"/>
                <w:szCs w:val="22"/>
                <w:lang w:val="en-GB"/>
              </w:rPr>
              <w:t>cGill University, Quebec</w:t>
            </w:r>
            <w:r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2016</w:t>
            </w:r>
          </w:p>
          <w:p w14:paraId="7BA8B0FC" w14:textId="63300BE9" w:rsidR="007D22C0" w:rsidRDefault="007D22C0" w:rsidP="00483DF3">
            <w:pPr>
              <w:spacing w:before="100" w:after="100"/>
              <w:ind w:left="72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F6F7A">
              <w:rPr>
                <w:rFonts w:asciiTheme="majorHAnsi" w:eastAsia="Times New Roman" w:hAnsiTheme="majorHAnsi" w:cs="Arial"/>
                <w:bCs/>
                <w:sz w:val="22"/>
                <w:szCs w:val="22"/>
                <w:u w:val="single"/>
                <w:lang w:val="en-GB"/>
              </w:rPr>
              <w:t>Thesis</w:t>
            </w:r>
            <w:r w:rsidRPr="007D22C0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Times New Roman" w:hAnsiTheme="majorHAnsi" w:cs="Arial"/>
                <w:bCs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“</w:t>
            </w:r>
            <w:r w:rsidRPr="007D22C0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Air and Space Law in the Context of Globalization and Fragmentation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”</w:t>
            </w:r>
          </w:p>
          <w:p w14:paraId="4545DD1C" w14:textId="64B60A35" w:rsidR="009B3CCE" w:rsidRDefault="001C52E3" w:rsidP="00483DF3">
            <w:pPr>
              <w:spacing w:before="100" w:after="100"/>
              <w:ind w:left="720"/>
              <w:rPr>
                <w:rFonts w:asciiTheme="majorHAnsi" w:hAnsiTheme="majorHAnsi" w:cs="Arial"/>
                <w:sz w:val="22"/>
                <w:szCs w:val="22"/>
              </w:rPr>
            </w:pPr>
            <w:r w:rsidRPr="00FF6F7A">
              <w:rPr>
                <w:rFonts w:asciiTheme="majorHAnsi" w:hAnsiTheme="majorHAnsi" w:cs="Arial"/>
                <w:sz w:val="22"/>
                <w:szCs w:val="22"/>
                <w:u w:val="single"/>
                <w:lang w:val="en-GB"/>
              </w:rPr>
              <w:t>Courses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: </w:t>
            </w:r>
            <w:r w:rsidRPr="001C52E3">
              <w:rPr>
                <w:rFonts w:asciiTheme="majorHAnsi" w:hAnsiTheme="majorHAnsi" w:cs="Arial"/>
                <w:sz w:val="22"/>
                <w:szCs w:val="22"/>
              </w:rPr>
              <w:t>Public and private international air law; airline business and law; government regulation of air transportation; general principles of space law; law of space applications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(audited)</w:t>
            </w:r>
            <w:r w:rsidRPr="001C52E3">
              <w:rPr>
                <w:rFonts w:asciiTheme="majorHAnsi" w:hAnsiTheme="majorHAnsi" w:cs="Arial"/>
                <w:sz w:val="22"/>
                <w:szCs w:val="22"/>
              </w:rPr>
              <w:t>; government regulation of space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(audited)</w:t>
            </w:r>
            <w:r w:rsidRPr="001C52E3">
              <w:rPr>
                <w:rFonts w:asciiTheme="majorHAnsi" w:hAnsiTheme="majorHAnsi" w:cs="Arial"/>
                <w:sz w:val="22"/>
                <w:szCs w:val="22"/>
              </w:rPr>
              <w:t>; intellectual &amp; industrial property</w:t>
            </w:r>
          </w:p>
          <w:p w14:paraId="48A00944" w14:textId="16D86B9D" w:rsidR="001C52E3" w:rsidRPr="00FF6F7A" w:rsidRDefault="00FF6F7A" w:rsidP="00483DF3">
            <w:pPr>
              <w:spacing w:before="100" w:after="100"/>
              <w:ind w:left="72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u w:val="single"/>
                <w:lang w:val="en-GB"/>
              </w:rPr>
              <w:t>Activities</w:t>
            </w:r>
            <w:r w:rsidRPr="00FF6F7A"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F6F7A">
              <w:rPr>
                <w:rFonts w:asciiTheme="majorHAnsi" w:hAnsiTheme="majorHAnsi" w:cs="Arial"/>
                <w:sz w:val="22"/>
                <w:szCs w:val="22"/>
              </w:rPr>
              <w:t>2013 Manfred Lachs Space Moot Court Competition Regional Semi-Finalist</w:t>
            </w:r>
            <w:r w:rsidR="002A057F">
              <w:rPr>
                <w:rFonts w:asciiTheme="majorHAnsi" w:hAnsiTheme="majorHAnsi" w:cs="Arial"/>
                <w:sz w:val="22"/>
                <w:szCs w:val="22"/>
              </w:rPr>
              <w:t>; frequent editor of students’ theses</w:t>
            </w:r>
          </w:p>
          <w:p w14:paraId="1694B5EE" w14:textId="3EEB746F" w:rsidR="00CC6D06" w:rsidRPr="00CC6D06" w:rsidRDefault="00342A2F" w:rsidP="00483DF3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3959F8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Juris Doctor</w:t>
            </w:r>
            <w:r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>, Loyola Univ</w:t>
            </w:r>
            <w:r w:rsidR="00970D84"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>ersity College of Law</w:t>
            </w:r>
            <w:r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, </w:t>
            </w:r>
            <w:r w:rsidR="00CC6D06">
              <w:rPr>
                <w:rFonts w:asciiTheme="majorHAnsi" w:hAnsiTheme="majorHAnsi" w:cs="Arial"/>
                <w:sz w:val="22"/>
                <w:szCs w:val="22"/>
                <w:lang w:val="en-GB"/>
              </w:rPr>
              <w:t>Louisiana</w:t>
            </w:r>
            <w:r w:rsidR="00970D84"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>2008</w:t>
            </w:r>
          </w:p>
          <w:p w14:paraId="555DDA6B" w14:textId="0BA19FFB" w:rsidR="000033CC" w:rsidRDefault="00D57E7D" w:rsidP="00483DF3">
            <w:pPr>
              <w:spacing w:before="100" w:after="100"/>
              <w:ind w:left="7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FF6F7A">
              <w:rPr>
                <w:rFonts w:asciiTheme="majorHAnsi" w:eastAsia="Times New Roman" w:hAnsiTheme="majorHAnsi" w:cs="Arial"/>
                <w:bCs/>
                <w:sz w:val="22"/>
                <w:szCs w:val="22"/>
                <w:u w:val="single"/>
                <w:lang w:val="en-GB"/>
              </w:rPr>
              <w:t>Courses</w:t>
            </w: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: Common and civil law studies with a Certificate in International Legal Studies</w:t>
            </w:r>
          </w:p>
          <w:p w14:paraId="18B80D3B" w14:textId="22D0855A" w:rsidR="00674F51" w:rsidRDefault="00D57E7D" w:rsidP="00674F51">
            <w:pPr>
              <w:spacing w:before="100" w:after="100"/>
              <w:ind w:left="7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FF6F7A">
              <w:rPr>
                <w:rFonts w:asciiTheme="majorHAnsi" w:eastAsia="Times New Roman" w:hAnsiTheme="majorHAnsi" w:cs="Arial"/>
                <w:bCs/>
                <w:sz w:val="22"/>
                <w:szCs w:val="22"/>
                <w:u w:val="single"/>
                <w:lang w:val="en-GB"/>
              </w:rPr>
              <w:t>Activities</w:t>
            </w: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: </w:t>
            </w:r>
            <w:r w:rsidR="000033CC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Officer, Loyola International Law Society</w:t>
            </w:r>
            <w:r w:rsidR="0041324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; Pro bono </w:t>
            </w:r>
            <w:r w:rsidR="00FF6F7A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tax advisor for low income clients</w:t>
            </w:r>
          </w:p>
          <w:p w14:paraId="1DD36EE8" w14:textId="7E9AEE61" w:rsidR="00E6658D" w:rsidRDefault="009B3CCE" w:rsidP="00674F51">
            <w:pPr>
              <w:spacing w:before="100" w:after="100"/>
              <w:ind w:left="7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F23E9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Teaching Assistant</w:t>
            </w: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674F51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August 2007 to May 2008</w:t>
            </w:r>
            <w:r w:rsidR="00674F51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)</w:t>
            </w:r>
          </w:p>
          <w:p w14:paraId="3A94698D" w14:textId="53527852" w:rsidR="00E6658D" w:rsidRPr="00E6658D" w:rsidRDefault="009B3CCE" w:rsidP="00483DF3">
            <w:pPr>
              <w:pStyle w:val="ListParagraph"/>
              <w:numPr>
                <w:ilvl w:val="0"/>
                <w:numId w:val="11"/>
              </w:numPr>
              <w:spacing w:before="100" w:after="100"/>
              <w:ind w:left="144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</w:rPr>
            </w:pPr>
            <w:r w:rsidRPr="00E6658D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>Assisted with courses on international trade law and European Union law</w:t>
            </w:r>
            <w:r w:rsidR="00E6658D" w:rsidRPr="00E6658D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 xml:space="preserve"> </w:t>
            </w:r>
          </w:p>
          <w:p w14:paraId="52830BD7" w14:textId="51A6A9C8" w:rsidR="009B3CCE" w:rsidRPr="00E6658D" w:rsidRDefault="00E6658D" w:rsidP="00483DF3">
            <w:pPr>
              <w:pStyle w:val="ListParagraph"/>
              <w:numPr>
                <w:ilvl w:val="0"/>
                <w:numId w:val="11"/>
              </w:numPr>
              <w:spacing w:before="100" w:after="100"/>
              <w:ind w:left="1440"/>
              <w:contextualSpacing w:val="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6658D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>Led educational seminars v</w:t>
            </w:r>
            <w:r w:rsidR="00674F51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>isiting institutions of the EU (</w:t>
            </w:r>
            <w:r w:rsidRPr="00E6658D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>CJEU, Cou</w:t>
            </w:r>
            <w:r w:rsidR="00674F51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>ncil, Commission and Parliament),</w:t>
            </w:r>
            <w:r w:rsidRPr="00E6658D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 xml:space="preserve"> as well as the Council of Europe and ECtHR</w:t>
            </w:r>
          </w:p>
          <w:p w14:paraId="36549069" w14:textId="7F5AC862" w:rsidR="00342A2F" w:rsidRPr="002452FF" w:rsidRDefault="00342A2F" w:rsidP="00483DF3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3959F8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Master of </w:t>
            </w:r>
            <w:r w:rsidR="00892D36" w:rsidRPr="003959F8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Arts in </w:t>
            </w:r>
            <w:r w:rsidRPr="003959F8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Liberal Arts</w:t>
            </w:r>
            <w:r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>, St. John’</w:t>
            </w:r>
            <w:r w:rsidR="00CC6D06">
              <w:rPr>
                <w:rFonts w:asciiTheme="majorHAnsi" w:hAnsiTheme="majorHAnsi" w:cs="Arial"/>
                <w:sz w:val="22"/>
                <w:szCs w:val="22"/>
                <w:lang w:val="en-GB"/>
              </w:rPr>
              <w:t>s College, Maryland</w:t>
            </w:r>
            <w:r w:rsidR="00970D84"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>2001</w:t>
            </w:r>
          </w:p>
          <w:p w14:paraId="03811C16" w14:textId="77777777" w:rsidR="007504DB" w:rsidRDefault="00FF6F7A" w:rsidP="00483DF3">
            <w:pPr>
              <w:spacing w:before="100" w:after="100"/>
              <w:ind w:left="72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6658D">
              <w:rPr>
                <w:rFonts w:asciiTheme="majorHAnsi" w:hAnsiTheme="majorHAnsi" w:cs="Arial"/>
                <w:sz w:val="22"/>
                <w:szCs w:val="22"/>
                <w:u w:val="single"/>
                <w:lang w:val="en-GB"/>
              </w:rPr>
              <w:t>Great books program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: Classics in literature, philosophy, theology, math, sciences, political philosophy, </w:t>
            </w:r>
          </w:p>
          <w:p w14:paraId="152B724D" w14:textId="162F4114" w:rsidR="00FF6F7A" w:rsidRDefault="007504DB" w:rsidP="00483DF3">
            <w:pPr>
              <w:spacing w:before="100" w:after="100"/>
              <w:ind w:left="72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Latin and Ancient Greek: </w:t>
            </w:r>
            <w:r w:rsidR="00FF6F7A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Translated </w:t>
            </w:r>
            <w:r w:rsidR="00FF6F7A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Meno</w:t>
            </w:r>
            <w:r w:rsidR="00FF6F7A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by Plat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o from Ancient Greek to English</w:t>
            </w:r>
          </w:p>
          <w:p w14:paraId="5D383294" w14:textId="77777777" w:rsidR="004D0CBF" w:rsidRDefault="00342A2F" w:rsidP="00483DF3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3959F8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Bachelor of Sciences</w:t>
            </w:r>
            <w:r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, Mount Saint Mary’s University, </w:t>
            </w:r>
            <w:r w:rsidR="00CC6D0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Maryland </w:t>
            </w:r>
            <w:r w:rsidRPr="002452FF">
              <w:rPr>
                <w:rFonts w:asciiTheme="majorHAnsi" w:hAnsiTheme="majorHAnsi" w:cs="Arial"/>
                <w:sz w:val="22"/>
                <w:szCs w:val="22"/>
                <w:lang w:val="en-GB"/>
              </w:rPr>
              <w:t>1999</w:t>
            </w:r>
          </w:p>
          <w:p w14:paraId="5231B5FC" w14:textId="77777777" w:rsidR="00FF6F7A" w:rsidRDefault="00FF6F7A" w:rsidP="00483DF3">
            <w:pPr>
              <w:spacing w:before="100" w:after="100"/>
              <w:ind w:left="72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Liberal arts curriculum with a major in biology</w:t>
            </w:r>
          </w:p>
          <w:p w14:paraId="5BCC6640" w14:textId="77777777" w:rsidR="00483DF3" w:rsidRDefault="00FF6F7A" w:rsidP="00483DF3">
            <w:pPr>
              <w:spacing w:before="100" w:after="100"/>
              <w:ind w:left="72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483DF3">
              <w:rPr>
                <w:rFonts w:asciiTheme="majorHAnsi" w:hAnsiTheme="majorHAnsi" w:cs="Arial"/>
                <w:sz w:val="22"/>
                <w:szCs w:val="22"/>
                <w:u w:val="single"/>
                <w:lang w:val="en-GB"/>
              </w:rPr>
              <w:t>Courses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: Anatomy, genetics, toxicology, pharmacology, physiology, physics, chemistry, organic chemistry</w:t>
            </w:r>
            <w:r w:rsidR="00483DF3">
              <w:rPr>
                <w:rFonts w:asciiTheme="majorHAnsi" w:hAnsiTheme="majorHAnsi" w:cs="Arial"/>
                <w:sz w:val="22"/>
                <w:szCs w:val="22"/>
                <w:lang w:val="en-GB"/>
              </w:rPr>
              <w:t>, as well as history, philosophy, theology and literature courses</w:t>
            </w:r>
          </w:p>
          <w:p w14:paraId="66F18761" w14:textId="42496DC4" w:rsidR="00483DF3" w:rsidRPr="00483DF3" w:rsidRDefault="00483DF3" w:rsidP="00483DF3">
            <w:pPr>
              <w:spacing w:before="100" w:after="100"/>
              <w:ind w:left="72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483DF3">
              <w:rPr>
                <w:rFonts w:asciiTheme="majorHAnsi" w:hAnsiTheme="majorHAnsi" w:cs="Arial"/>
                <w:sz w:val="22"/>
                <w:szCs w:val="22"/>
                <w:u w:val="single"/>
                <w:lang w:val="en-GB"/>
              </w:rPr>
              <w:t>Activities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: Acting, 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inter alia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, as Claudio in Shakespeare’s 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Much Ado About Nothing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and as lead in Christopher Marlow’s </w:t>
            </w:r>
            <w:r w:rsidRPr="00483DF3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Doctor Faustus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; Vice President and Co-captain of the Rugby Football Club</w:t>
            </w:r>
          </w:p>
        </w:tc>
      </w:tr>
      <w:tr w:rsidR="00342A2F" w:rsidRPr="00C872A7" w14:paraId="15B6F2F1" w14:textId="77777777" w:rsidTr="00AA5534">
        <w:trPr>
          <w:cantSplit/>
          <w:trHeight w:val="26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2DE4FF" w14:textId="77777777" w:rsidR="00342A2F" w:rsidRPr="00161D9E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/>
                <w:bCs/>
                <w:color w:val="1F497D" w:themeColor="text2"/>
                <w:sz w:val="22"/>
                <w:szCs w:val="22"/>
                <w:lang w:val="en-GB"/>
              </w:rPr>
            </w:pPr>
            <w:r w:rsidRPr="00161D9E"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en-GB"/>
              </w:rPr>
              <w:t>Professional Experiences</w:t>
            </w:r>
          </w:p>
        </w:tc>
      </w:tr>
      <w:tr w:rsidR="00342A2F" w:rsidRPr="00C872A7" w14:paraId="2C144A84" w14:textId="77777777" w:rsidTr="00F271A3">
        <w:trPr>
          <w:cantSplit/>
          <w:trHeight w:val="260"/>
        </w:trPr>
        <w:tc>
          <w:tcPr>
            <w:tcW w:w="10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2B509" w14:textId="38D34A00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t>Aviation Advocacy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Nyon, Switzerland</w:t>
            </w:r>
          </w:p>
          <w:p w14:paraId="6537D78F" w14:textId="077418EF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Associate, February 2015 to present</w:t>
            </w:r>
          </w:p>
          <w:p w14:paraId="18525DFE" w14:textId="67925B77" w:rsidR="000540E1" w:rsidRPr="002452FF" w:rsidRDefault="000F7575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Aviation Advocacy is a</w:t>
            </w:r>
            <w:r w:rsidR="00D07E50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A6784A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consulting firm 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focused on aviation industry analysis, teaching and advising on policy and regulatory compliance for cutt</w:t>
            </w:r>
            <w:r w:rsidR="000540E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ing-edge technologies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.</w:t>
            </w:r>
            <w:r w:rsidR="00C2627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CF304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0540E1" w:rsidRPr="00D4738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Responsibilities</w:t>
            </w:r>
            <w:r w:rsidR="000540E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include: </w:t>
            </w:r>
          </w:p>
          <w:p w14:paraId="75A574CD" w14:textId="351BA7AC" w:rsidR="00001421" w:rsidRDefault="00001421" w:rsidP="00483DF3">
            <w:pPr>
              <w:pStyle w:val="ListParagraph"/>
              <w:numPr>
                <w:ilvl w:val="0"/>
                <w:numId w:val="1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Regularly contributing to and editing </w:t>
            </w:r>
            <w:r w:rsidR="00CF304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Aviation Advocacy </w:t>
            </w: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publications</w:t>
            </w:r>
            <w:r w:rsidR="00CF304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, including the monthly subscription newsletter, the </w:t>
            </w:r>
            <w:r w:rsidR="00CF304D">
              <w:rPr>
                <w:rFonts w:asciiTheme="majorHAnsi" w:eastAsia="Times New Roman" w:hAnsiTheme="majorHAnsi" w:cs="Arial"/>
                <w:bCs/>
                <w:i/>
                <w:sz w:val="22"/>
                <w:szCs w:val="22"/>
                <w:lang w:val="en-GB"/>
              </w:rPr>
              <w:t>Aviation Intelligence Reporter</w:t>
            </w:r>
            <w:r w:rsidR="00CF304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and the Aviation Advocacy Blog</w:t>
            </w:r>
          </w:p>
          <w:p w14:paraId="01B9DDCB" w14:textId="11AA4F60" w:rsidR="001C07D9" w:rsidRPr="00DD154E" w:rsidRDefault="00161D9E" w:rsidP="00483DF3">
            <w:pPr>
              <w:pStyle w:val="ListParagraph"/>
              <w:numPr>
                <w:ilvl w:val="0"/>
                <w:numId w:val="1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Advising </w:t>
            </w:r>
            <w:r w:rsidR="000540E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aerospace and defence contractor</w:t>
            </w: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s</w:t>
            </w:r>
            <w:r w:rsidR="000540E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with international and</w:t>
            </w:r>
            <w:r w:rsidR="00DD154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domestic regulatory compliance, often by w</w:t>
            </w:r>
            <w:r w:rsidR="000F1805" w:rsidRPr="00DD154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orking closely with engineers to roll out evolving technologies within shifting regulatory landscapes</w:t>
            </w:r>
            <w:r w:rsidR="00DD154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and l</w:t>
            </w:r>
            <w:r w:rsidR="001C07D9" w:rsidRPr="00DD154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iaising with government agencies </w:t>
            </w:r>
            <w:r w:rsidR="00AF0832" w:rsidRPr="00DD154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for regulatory approvals</w:t>
            </w:r>
          </w:p>
          <w:p w14:paraId="3F1D0CF0" w14:textId="2A7EBA03" w:rsidR="000E4BF6" w:rsidRPr="002452FF" w:rsidRDefault="000540E1" w:rsidP="00483DF3">
            <w:pPr>
              <w:pStyle w:val="ListParagraph"/>
              <w:numPr>
                <w:ilvl w:val="0"/>
                <w:numId w:val="1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Monitoring tech</w:t>
            </w:r>
            <w:r w:rsidR="001C07D9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nological, policy and legal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developments in the </w:t>
            </w:r>
            <w:r w:rsidR="00970D84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aviation</w:t>
            </w:r>
            <w:r w:rsidR="000E4BF6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, </w:t>
            </w:r>
            <w:r w:rsidR="00970D84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drone </w:t>
            </w:r>
            <w:r w:rsidR="000E4BF6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and ATM </w:t>
            </w:r>
            <w:r w:rsidR="00970D84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sectors,</w:t>
            </w:r>
            <w:r w:rsidR="000E4BF6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970D84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in</w:t>
            </w:r>
            <w:r w:rsidR="000E4BF6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cluding for</w:t>
            </w:r>
            <w:r w:rsidR="00970D84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the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use of space applications for aviation safety, connectivity and navigation</w:t>
            </w:r>
            <w:r w:rsidR="000E4BF6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and for integration of airspace for drone deployment and space launches</w:t>
            </w:r>
          </w:p>
          <w:p w14:paraId="2A55791E" w14:textId="272987E6" w:rsidR="00602877" w:rsidRPr="002452FF" w:rsidRDefault="000540E1" w:rsidP="00483DF3">
            <w:pPr>
              <w:pStyle w:val="ListParagraph"/>
              <w:numPr>
                <w:ilvl w:val="0"/>
                <w:numId w:val="1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Developing and delivering training course</w:t>
            </w:r>
            <w:r w:rsidR="000F1805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s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to airlines and regulators on aviation law, competition law</w:t>
            </w:r>
            <w:r w:rsidR="000F1805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and aviation contract law</w:t>
            </w:r>
            <w:r w:rsidR="00CF304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.  Development of courses includes drafting course texts and creating PowerPoint presentations and testing materials for master degree level programs</w:t>
            </w:r>
          </w:p>
        </w:tc>
      </w:tr>
      <w:tr w:rsidR="00751CE4" w:rsidRPr="00C872A7" w14:paraId="5FCF354A" w14:textId="77777777" w:rsidTr="00F271A3">
        <w:trPr>
          <w:cantSplit/>
          <w:trHeight w:val="260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43AA8592" w14:textId="22819859" w:rsidR="00751CE4" w:rsidRPr="002452FF" w:rsidRDefault="00751CE4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lastRenderedPageBreak/>
              <w:t>American Society of International Law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Washington DC, United States</w:t>
            </w:r>
          </w:p>
          <w:p w14:paraId="5FA39B17" w14:textId="16A9F202" w:rsidR="00751CE4" w:rsidRPr="002452FF" w:rsidRDefault="00751CE4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Co-chair, Space Law Interest Group, April 2015 </w:t>
            </w:r>
            <w:r w:rsidR="007A60E9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to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May 2017</w:t>
            </w:r>
          </w:p>
          <w:p w14:paraId="52AC26FA" w14:textId="2B6A5F2F" w:rsidR="00FF2787" w:rsidRPr="002452FF" w:rsidRDefault="00751CE4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The Am</w:t>
            </w:r>
            <w:r w:rsidR="00A30B44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erican Society of International Law (ASIL) is</w:t>
            </w:r>
            <w:r w:rsidR="00FF2787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 non</w:t>
            </w:r>
            <w:r w:rsidR="0044168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-</w:t>
            </w:r>
            <w:r w:rsidR="00FF2787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profit, nonpartisan, educational membership organization chartered by an Act of the US Congress</w:t>
            </w:r>
            <w:r w:rsidR="007A60E9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t</w:t>
            </w:r>
            <w:r w:rsidR="00FF2787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o foster the study of international law and to promote the establishment and maintenance of international relations on the basis of law and justice</w:t>
            </w:r>
            <w:r w:rsidR="003E3ED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.  Achievements included:</w:t>
            </w:r>
          </w:p>
          <w:p w14:paraId="10B5F119" w14:textId="64A58568" w:rsidR="00751CE4" w:rsidRPr="002452FF" w:rsidRDefault="00FF2787" w:rsidP="00483DF3">
            <w:pPr>
              <w:pStyle w:val="ListParagraph"/>
              <w:numPr>
                <w:ilvl w:val="0"/>
                <w:numId w:val="3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resenting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at the UNOOSA/UAE High Level Forum on ‘Space as a driver of socio-economic development</w:t>
            </w:r>
            <w:r w:rsidR="007A60E9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’ held in Dubai in 2016</w:t>
            </w:r>
          </w:p>
          <w:p w14:paraId="6CAEE93E" w14:textId="15D308A0" w:rsidR="005218AB" w:rsidRPr="002452FF" w:rsidRDefault="004D0BF1" w:rsidP="00483DF3">
            <w:pPr>
              <w:pStyle w:val="ListParagraph"/>
              <w:numPr>
                <w:ilvl w:val="0"/>
                <w:numId w:val="3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L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aunching</w:t>
            </w:r>
            <w:r w:rsidR="005218A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 social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media </w:t>
            </w:r>
            <w:r w:rsidR="005218A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platf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orm and doubling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the membership of the Space Law IG</w:t>
            </w:r>
          </w:p>
          <w:p w14:paraId="3934E009" w14:textId="5244F507" w:rsidR="005218AB" w:rsidRPr="002452FF" w:rsidRDefault="009B34E2" w:rsidP="00483DF3">
            <w:pPr>
              <w:pStyle w:val="ListParagraph"/>
              <w:numPr>
                <w:ilvl w:val="0"/>
                <w:numId w:val="3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Raising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the profile of 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space law 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at ASIL Annual Meetings </w:t>
            </w:r>
            <w:r w:rsidR="005218A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by co-sponsoring a 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panel on space mining</w:t>
            </w:r>
            <w:r w:rsidR="005218A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in 2016 and organizing a 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panel entitled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‘</w:t>
            </w:r>
            <w:r w:rsidR="005218A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Making Space for 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Private Space Actors’ in 2017</w:t>
            </w:r>
          </w:p>
          <w:p w14:paraId="299DC299" w14:textId="4D7F132F" w:rsidR="005218AB" w:rsidRPr="002452FF" w:rsidRDefault="009B34E2" w:rsidP="00483DF3">
            <w:pPr>
              <w:pStyle w:val="ListParagraph"/>
              <w:numPr>
                <w:ilvl w:val="0"/>
                <w:numId w:val="3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Attending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meetings of the Fourth Committee of the UN General Assembly on the negotiation o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f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its annual resolution on ‘International cooperation in the peaceful uses of outer spac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e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’</w:t>
            </w:r>
          </w:p>
          <w:p w14:paraId="279D7CF3" w14:textId="3CE917DA" w:rsidR="007A60E9" w:rsidRPr="002452FF" w:rsidRDefault="009B34E2" w:rsidP="00483DF3">
            <w:pPr>
              <w:pStyle w:val="ListParagraph"/>
              <w:numPr>
                <w:ilvl w:val="0"/>
                <w:numId w:val="3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Organizing</w:t>
            </w:r>
            <w:r w:rsidR="005218A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educational events, including</w:t>
            </w:r>
            <w:r w:rsidR="005218A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‘A Conversation with Niklas Hedman, Chief of the Committee, Policy and Legal Affairs section of the UN Officer for Outer Space Affairs’</w:t>
            </w:r>
            <w:r w:rsidR="004F0638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5218A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and ‘A Celebration of the 50th Anniversary of the Signing of the Outer Space Treaty’ featuring representatives from the US State Department and professors from Georgetown University</w:t>
            </w:r>
          </w:p>
        </w:tc>
      </w:tr>
      <w:tr w:rsidR="00342A2F" w:rsidRPr="00C872A7" w14:paraId="794AA421" w14:textId="77777777" w:rsidTr="00F271A3">
        <w:trPr>
          <w:cantSplit/>
          <w:trHeight w:val="260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217B82E5" w14:textId="48B30F67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t>National Academies of Sciences, Engineering and Medicine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Washington DC, United States</w:t>
            </w:r>
          </w:p>
          <w:p w14:paraId="1A5955F9" w14:textId="74FF705A" w:rsidR="00342A2F" w:rsidRPr="002452FF" w:rsidRDefault="00324CCD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Program Officer and 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Mirzayan Science and Technology Policy Graduate Fellow, January to August 2016</w:t>
            </w:r>
          </w:p>
          <w:p w14:paraId="7559B3AD" w14:textId="6BB2E6D4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The Committee on Science, Technology and Law (CSTL) is part of the National Academies’ Policy and Global Affairs Di</w:t>
            </w:r>
            <w:r w:rsidR="00327DC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vision, which seeks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to improve public policy in</w:t>
            </w:r>
            <w:r w:rsidR="00327DC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matters of science and technology.  </w:t>
            </w:r>
            <w:r w:rsidR="003E3ED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Responsibilities </w:t>
            </w:r>
            <w:r w:rsidR="00327DC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included:</w:t>
            </w:r>
          </w:p>
          <w:p w14:paraId="797837BB" w14:textId="77777777" w:rsidR="00F751C5" w:rsidRPr="002452FF" w:rsidRDefault="00B42D12" w:rsidP="00483DF3">
            <w:pPr>
              <w:pStyle w:val="ListParagraph"/>
              <w:numPr>
                <w:ilvl w:val="0"/>
                <w:numId w:val="2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U</w:t>
            </w:r>
            <w:r w:rsidR="00327DC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pdating a 2015 proposal for a space policy study on the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need for modernization of</w:t>
            </w:r>
            <w:r w:rsidR="00327DC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international and US laws and regulations affecting the commercial space industry</w:t>
            </w:r>
          </w:p>
          <w:p w14:paraId="28CADBE7" w14:textId="4D50D695" w:rsidR="003A6241" w:rsidRPr="002452FF" w:rsidRDefault="009B34E2" w:rsidP="00483DF3">
            <w:pPr>
              <w:pStyle w:val="ListParagraph"/>
              <w:numPr>
                <w:ilvl w:val="0"/>
                <w:numId w:val="2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Developing</w:t>
            </w:r>
            <w:r w:rsidR="003A624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proposals for studies on other advancing science and technologies and their effects on laws and policies</w:t>
            </w:r>
          </w:p>
          <w:p w14:paraId="30B9F790" w14:textId="3A237187" w:rsidR="00913435" w:rsidRPr="002452FF" w:rsidRDefault="009B34E2" w:rsidP="00483DF3">
            <w:pPr>
              <w:pStyle w:val="ListParagraph"/>
              <w:numPr>
                <w:ilvl w:val="0"/>
                <w:numId w:val="2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Liaising</w:t>
            </w:r>
            <w:r w:rsidR="00F751C5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with staff of US Congressional committees</w:t>
            </w:r>
            <w:r w:rsidR="00913435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, US Federal agencies, </w:t>
            </w:r>
            <w:r w:rsidR="003D335E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not-for-profit</w:t>
            </w:r>
            <w:r w:rsidR="00913435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foundations and universities for the purposes of resource mobilization, donor relations and outreach</w:t>
            </w:r>
            <w:r w:rsidR="003A624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on studies</w:t>
            </w:r>
          </w:p>
          <w:p w14:paraId="7043EF92" w14:textId="7DD073C1" w:rsidR="00342A2F" w:rsidRPr="002452FF" w:rsidRDefault="00327DC1" w:rsidP="00483DF3">
            <w:pPr>
              <w:pStyle w:val="ListParagraph"/>
              <w:numPr>
                <w:ilvl w:val="0"/>
                <w:numId w:val="2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N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egotiating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copyright permissions </w:t>
            </w:r>
            <w:r w:rsidR="002143E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with publishing houses 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for use of excerpts from </w:t>
            </w:r>
            <w:r w:rsidR="002143E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journal articles and studies in 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National Academies</w:t>
            </w:r>
            <w:r w:rsidR="002143E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’ publications</w:t>
            </w:r>
          </w:p>
        </w:tc>
      </w:tr>
      <w:tr w:rsidR="00342A2F" w:rsidRPr="00C872A7" w14:paraId="08C7F0E0" w14:textId="77777777" w:rsidTr="00F271A3">
        <w:trPr>
          <w:cantSplit/>
          <w:trHeight w:val="260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3F877C00" w14:textId="330B8ED8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t>UN Office for Outer Space Affairs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Vienna, Austria</w:t>
            </w:r>
          </w:p>
          <w:p w14:paraId="4BACE923" w14:textId="4235F0F9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Legal Intern, Committee, Policy and Legal Affairs Section, April to October 2015</w:t>
            </w:r>
          </w:p>
          <w:p w14:paraId="31A6E21E" w14:textId="4D12F1C5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The Committee, Policy and Legal Affairs Section of the Office for Outer Space Affairs serves as the secretariat to the UN Committee on the Peaceful Uses of Outer Space.</w:t>
            </w:r>
            <w:r w:rsidR="003E3ED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 Responsibilities included:</w:t>
            </w:r>
          </w:p>
          <w:p w14:paraId="0488D0BA" w14:textId="1F3FD8B1" w:rsidR="003E3EDF" w:rsidRPr="002452FF" w:rsidRDefault="003E3EDF" w:rsidP="00483DF3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ssisting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with secretariat duties for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the 2015 meetings </w:t>
            </w:r>
            <w:r w:rsidR="00CF304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of COPUOS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its Legal Subcommittee and a Working Group on the Long-Term Sustainability of Out</w:t>
            </w:r>
            <w:r w:rsidR="003D335E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er Space Activities</w:t>
            </w:r>
          </w:p>
          <w:p w14:paraId="14274120" w14:textId="30E8982D" w:rsidR="006B2C93" w:rsidRPr="002452FF" w:rsidRDefault="00934C3E" w:rsidP="00483DF3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ssisting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in drafting foundational documents for UNISPACE+50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including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the Terms of Reference for the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UNISPACE+50 Steering Committee</w:t>
            </w:r>
          </w:p>
          <w:p w14:paraId="273052B9" w14:textId="78635BCB" w:rsidR="006B2C93" w:rsidRPr="002452FF" w:rsidRDefault="009B34E2" w:rsidP="00483DF3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Attending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the EU's negotiations over an international code of conduct for ou</w:t>
            </w:r>
            <w:r w:rsidR="007C1B0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ter space activities and drafting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 mission 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report for the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meeting</w:t>
            </w:r>
          </w:p>
          <w:p w14:paraId="4378B516" w14:textId="666B497C" w:rsidR="00342A2F" w:rsidRPr="002452FF" w:rsidRDefault="009B34E2" w:rsidP="00483DF3">
            <w:pPr>
              <w:pStyle w:val="ListParagraph"/>
              <w:numPr>
                <w:ilvl w:val="0"/>
                <w:numId w:val="4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Participating</w:t>
            </w:r>
            <w:r w:rsidR="0023307D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in 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the ICAO S</w:t>
            </w:r>
            <w:r w:rsidR="001331A4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pace Learning Group</w:t>
            </w:r>
            <w:r w:rsidR="007C1B0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and liaising with members of the ICAO secretariat for development of</w:t>
            </w:r>
            <w:r w:rsidR="0023307D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the</w:t>
            </w:r>
            <w:r w:rsidR="004D0BF1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23307D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program agenda for the 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ICAO/UNOOSA Aerospace Symposium</w:t>
            </w:r>
            <w:r w:rsidR="0023307D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2016</w:t>
            </w:r>
          </w:p>
        </w:tc>
      </w:tr>
      <w:tr w:rsidR="003A6241" w:rsidRPr="00C872A7" w14:paraId="6191C7EF" w14:textId="77777777" w:rsidTr="00F271A3">
        <w:trPr>
          <w:cantSplit/>
          <w:trHeight w:val="260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697BCBE9" w14:textId="0B848964" w:rsidR="003A6241" w:rsidRPr="002452FF" w:rsidRDefault="003A6241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McGill </w:t>
            </w:r>
            <w:r w:rsidR="00970D84"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t xml:space="preserve">University </w:t>
            </w: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t>Centre on Research in Air and Space Law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Montreal, Canada</w:t>
            </w:r>
          </w:p>
          <w:p w14:paraId="32AE6C61" w14:textId="6259FEBE" w:rsidR="003A6241" w:rsidRPr="002452FF" w:rsidRDefault="003A6241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Research Ass</w:t>
            </w:r>
            <w:r w:rsidR="00E578FC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istant, November 2014 to April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2015</w:t>
            </w:r>
          </w:p>
          <w:p w14:paraId="49DF4E17" w14:textId="2A0CF818" w:rsidR="003A6241" w:rsidRPr="002452FF" w:rsidRDefault="00970D84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The McGill Centre for Research in Air and Space Law is the principal research and educational outreach arm of McGill’s Institute of Air and Space Law; it publishes studies, proceedings of symposia, reports, books and the Annals of Air and Space Law.  Responsibilities included:</w:t>
            </w:r>
          </w:p>
          <w:p w14:paraId="4514E154" w14:textId="4209AA41" w:rsidR="003A6241" w:rsidRPr="002452FF" w:rsidRDefault="00970D84" w:rsidP="00483DF3">
            <w:pPr>
              <w:pStyle w:val="ListParagraph"/>
              <w:numPr>
                <w:ilvl w:val="0"/>
                <w:numId w:val="5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Serving</w:t>
            </w:r>
            <w:r w:rsidR="00E578FC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as a member of the Programme Committee for the 3</w:t>
            </w:r>
            <w:r w:rsidR="00E578FC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="00E578FC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Annual Manfred Lachs Conference on Global Aerospace Governance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held</w:t>
            </w:r>
            <w:r w:rsidR="00E578FC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in April 2015</w:t>
            </w:r>
          </w:p>
          <w:p w14:paraId="22648462" w14:textId="1D7DD59F" w:rsidR="00E578FC" w:rsidRPr="002452FF" w:rsidRDefault="00970D84" w:rsidP="00483DF3">
            <w:pPr>
              <w:pStyle w:val="ListParagraph"/>
              <w:numPr>
                <w:ilvl w:val="0"/>
                <w:numId w:val="5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Providing</w:t>
            </w:r>
            <w:r w:rsidR="00E578FC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research for the developments of conference materials on issues affecting start-up aerospace companies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, including a report </w:t>
            </w:r>
            <w:r w:rsidR="00E578FC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detailing new technologies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and business initiatives</w:t>
            </w:r>
          </w:p>
          <w:p w14:paraId="4F5DEE74" w14:textId="3584C86C" w:rsidR="00E578FC" w:rsidRPr="002452FF" w:rsidRDefault="00970D84" w:rsidP="00483DF3">
            <w:pPr>
              <w:pStyle w:val="ListParagraph"/>
              <w:numPr>
                <w:ilvl w:val="0"/>
                <w:numId w:val="5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Presenting</w:t>
            </w:r>
            <w:r w:rsidR="00E578FC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findings at the conference</w:t>
            </w:r>
          </w:p>
        </w:tc>
      </w:tr>
      <w:tr w:rsidR="00342A2F" w:rsidRPr="00C872A7" w14:paraId="6EBB10FB" w14:textId="77777777" w:rsidTr="00F271A3">
        <w:trPr>
          <w:cantSplit/>
          <w:trHeight w:val="260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797079B8" w14:textId="6A994B18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t>Aerospace Industries Association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Washington DC, United States</w:t>
            </w:r>
          </w:p>
          <w:p w14:paraId="6AFA7875" w14:textId="77777777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Policy Intern, Civil Aviation and Space Systems Sectors, June to October 2014</w:t>
            </w:r>
          </w:p>
          <w:p w14:paraId="2571C687" w14:textId="6B1173EC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Aerospace Industries Association (AIA) is a trade association for US aerospace and defence corporations.  Its International Coordinating Council (ICC) serves to align programmes and messaging with its sister organisa</w:t>
            </w:r>
            <w:r w:rsidR="00B33642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tions in Europe, Japan, Russia, Canada and Brazil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.</w:t>
            </w:r>
            <w:r w:rsidR="00B33642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 Responsibilities included:</w:t>
            </w:r>
          </w:p>
          <w:p w14:paraId="6C7E0793" w14:textId="44AE7816" w:rsidR="00B33642" w:rsidRPr="002452FF" w:rsidRDefault="00B33642" w:rsidP="00483DF3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M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onitoring policy and regulatory affairs at do</w:t>
            </w:r>
            <w:r w:rsidR="00311142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mestic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and international levels</w:t>
            </w:r>
          </w:p>
          <w:p w14:paraId="34E7FD27" w14:textId="3D0AA9E1" w:rsidR="00B33642" w:rsidRPr="002452FF" w:rsidRDefault="00B33642" w:rsidP="00483DF3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L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iaising with government officials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including members of Congress and their staff, as well as with officials in Departments (Defen</w:t>
            </w:r>
            <w:r w:rsidR="0050274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se, Transportation and State), </w:t>
            </w:r>
            <w:r w:rsidR="00311142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White H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ouse </w:t>
            </w:r>
            <w:r w:rsidR="00311142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offices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(Office of Science and Technology Policy; Office of Management and Budget)</w:t>
            </w:r>
            <w:r w:rsidR="0050274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and agencies (FAA;NOAA; FCC)</w:t>
            </w:r>
          </w:p>
          <w:p w14:paraId="0CD88CAC" w14:textId="3E4CCFC6" w:rsidR="00B33642" w:rsidRPr="002452FF" w:rsidRDefault="00472242" w:rsidP="00483DF3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Assisting with the organisation of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>a Space Launch Roundtable involving high-level representativ</w:t>
            </w:r>
            <w:r w:rsidR="0050274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 xml:space="preserve">es from the US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>commercial launch industry and US government</w:t>
            </w:r>
            <w:r w:rsidR="0050274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 xml:space="preserve"> </w:t>
            </w:r>
          </w:p>
          <w:p w14:paraId="09B94C51" w14:textId="57824600" w:rsidR="00342A2F" w:rsidRPr="002452FF" w:rsidRDefault="00B33642" w:rsidP="00483DF3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Advising ICC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AIA</w:t>
            </w:r>
            <w:r w:rsidR="0050274B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on 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UN activities and international legal issues; advising AIA on export control compliance issues</w:t>
            </w:r>
            <w:r w:rsidR="00472242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; Preparing white papers</w:t>
            </w:r>
          </w:p>
          <w:p w14:paraId="25EC2102" w14:textId="41592BAC" w:rsidR="00B33642" w:rsidRPr="002452FF" w:rsidRDefault="00B33642" w:rsidP="00483DF3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Serving as legal advisor to ICCAIA for participation in the ICAO Space Learning Group</w:t>
            </w:r>
          </w:p>
        </w:tc>
      </w:tr>
      <w:tr w:rsidR="00342A2F" w:rsidRPr="00C872A7" w14:paraId="15C7DF80" w14:textId="77777777" w:rsidTr="00F271A3">
        <w:trPr>
          <w:cantSplit/>
          <w:trHeight w:val="260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1987636C" w14:textId="2EF209B3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t>UN Counter-Terrorism Executive Directorate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New York, United States</w:t>
            </w: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79FDF1FC" w14:textId="77777777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Legal Intern, September 2013 to February 2014</w:t>
            </w:r>
          </w:p>
          <w:p w14:paraId="17283BFA" w14:textId="77777777" w:rsidR="00EA6880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The Counter-Terrorism Executive Directorate (CTED) serves as the executive arm of the UN Security Council Counter Terrorism Committee.</w:t>
            </w:r>
            <w:r w:rsidR="00EA688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Responsibilities included: </w:t>
            </w:r>
          </w:p>
          <w:p w14:paraId="7B598272" w14:textId="7A6C9DAD" w:rsidR="00EA6880" w:rsidRPr="002452FF" w:rsidRDefault="009B34E2" w:rsidP="00483DF3">
            <w:pPr>
              <w:pStyle w:val="ListParagraph"/>
              <w:numPr>
                <w:ilvl w:val="0"/>
                <w:numId w:val="7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Analysing</w:t>
            </w:r>
            <w:r w:rsidR="00EA688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international, regional and domestic agreements r</w:t>
            </w:r>
            <w:r w:rsidR="00EA688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elating to counter-terrorism</w:t>
            </w:r>
          </w:p>
          <w:p w14:paraId="5FCBF7E6" w14:textId="0F70FFFB" w:rsidR="00EA6880" w:rsidRPr="002452FF" w:rsidRDefault="009B34E2" w:rsidP="00483DF3">
            <w:pPr>
              <w:pStyle w:val="ListParagraph"/>
              <w:numPr>
                <w:ilvl w:val="0"/>
                <w:numId w:val="7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Attending</w:t>
            </w:r>
            <w:r w:rsidR="00EA688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Committee meetings</w:t>
            </w:r>
            <w:r w:rsidR="00EA688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drafting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reports on activities of CTED</w:t>
            </w:r>
            <w:r w:rsidR="00EA688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and the implementation of counter-terrorism pro</w:t>
            </w:r>
            <w:r w:rsidR="00EA688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cedures and mechanisms</w:t>
            </w:r>
          </w:p>
          <w:p w14:paraId="1E3942E4" w14:textId="411D4E02" w:rsidR="00342A2F" w:rsidRPr="002452FF" w:rsidRDefault="00EA6880" w:rsidP="00483DF3">
            <w:pPr>
              <w:pStyle w:val="ListParagraph"/>
              <w:numPr>
                <w:ilvl w:val="0"/>
                <w:numId w:val="7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D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rafting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memoranda on public international law</w:t>
            </w:r>
          </w:p>
        </w:tc>
      </w:tr>
      <w:tr w:rsidR="00342A2F" w:rsidRPr="00C872A7" w14:paraId="4D940BCD" w14:textId="77777777" w:rsidTr="00391507">
        <w:trPr>
          <w:cantSplit/>
          <w:trHeight w:val="260"/>
        </w:trPr>
        <w:tc>
          <w:tcPr>
            <w:tcW w:w="10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5ED98" w14:textId="595E8DD4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  <w:t>Los Angeles City Attorneys Office—Division of Airports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Los Angeles, United States</w:t>
            </w:r>
          </w:p>
          <w:p w14:paraId="3D08AD9F" w14:textId="77777777" w:rsidR="00342A2F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Law Clerk, Los Angeles World Airports (LAX, VNY, ONT), October 2010 to April 2012</w:t>
            </w:r>
          </w:p>
          <w:p w14:paraId="6EBA0B3E" w14:textId="77777777" w:rsidR="00EA6880" w:rsidRPr="002452FF" w:rsidRDefault="00342A2F" w:rsidP="00483DF3">
            <w:pPr>
              <w:spacing w:before="100" w:after="10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The Division of Airports of the LA City Attorneys Office serves as in-house counsel to airports owned and operated by the City of Los</w:t>
            </w:r>
            <w:r w:rsidR="00EA688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Angeles, including LAX airport. 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Responsibilities included: </w:t>
            </w:r>
          </w:p>
          <w:p w14:paraId="5832EE9E" w14:textId="54DB32BB" w:rsidR="00EA6880" w:rsidRPr="002452FF" w:rsidRDefault="009B34E2" w:rsidP="00483DF3">
            <w:pPr>
              <w:pStyle w:val="ListParagraph"/>
              <w:numPr>
                <w:ilvl w:val="0"/>
                <w:numId w:val="8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Conducting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litigation, including drafting complaints, responses and motions, and coordinating responses to requests for production of evid</w:t>
            </w:r>
            <w:r w:rsidR="00EA6880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ence</w:t>
            </w:r>
          </w:p>
          <w:p w14:paraId="6D6BFE72" w14:textId="760575AB" w:rsidR="00EA6880" w:rsidRPr="002452FF" w:rsidRDefault="00EA6880" w:rsidP="00483DF3">
            <w:pPr>
              <w:pStyle w:val="ListParagraph"/>
              <w:numPr>
                <w:ilvl w:val="0"/>
                <w:numId w:val="8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R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eviewing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requests for proposals, proposa</w:t>
            </w:r>
            <w:r w:rsidR="00CC6D06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ls, contracts and leases</w:t>
            </w:r>
          </w:p>
          <w:p w14:paraId="10F97898" w14:textId="4E0AC9BF" w:rsidR="009B34E2" w:rsidRPr="00CF304D" w:rsidRDefault="00EA6880" w:rsidP="00CF304D">
            <w:pPr>
              <w:pStyle w:val="ListParagraph"/>
              <w:numPr>
                <w:ilvl w:val="0"/>
                <w:numId w:val="8"/>
              </w:numPr>
              <w:spacing w:before="100" w:after="100"/>
              <w:contextualSpacing w:val="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L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iaising</w:t>
            </w:r>
            <w:r w:rsidR="00342A2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with government officials, external co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unsel and industry stakeholders on airport interests</w:t>
            </w:r>
          </w:p>
        </w:tc>
      </w:tr>
      <w:tr w:rsidR="00CF304D" w:rsidRPr="00C872A7" w14:paraId="7317EFDC" w14:textId="77777777" w:rsidTr="00391507">
        <w:trPr>
          <w:cantSplit/>
          <w:trHeight w:val="26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6905FF" w14:textId="26D08A05" w:rsidR="00CF304D" w:rsidRPr="009B3CCE" w:rsidRDefault="00AA5534" w:rsidP="00483DF3">
            <w:pPr>
              <w:spacing w:before="100" w:after="100"/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en-GB"/>
              </w:rPr>
              <w:lastRenderedPageBreak/>
              <w:t>Licenses and Affiliations</w:t>
            </w:r>
          </w:p>
        </w:tc>
      </w:tr>
      <w:tr w:rsidR="00CF304D" w:rsidRPr="00C872A7" w14:paraId="469BD9BB" w14:textId="77777777" w:rsidTr="00AA5534">
        <w:trPr>
          <w:cantSplit/>
          <w:trHeight w:val="260"/>
        </w:trPr>
        <w:tc>
          <w:tcPr>
            <w:tcW w:w="10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87206" w14:textId="7B6C5F26" w:rsidR="00CF304D" w:rsidRPr="0018313C" w:rsidRDefault="00425FA5" w:rsidP="00483DF3">
            <w:pPr>
              <w:spacing w:before="100" w:after="100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GB"/>
              </w:rPr>
            </w:pPr>
            <w:r w:rsidRPr="0018313C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GB"/>
              </w:rPr>
              <w:t>Attorney-at-law in Cali</w:t>
            </w:r>
            <w:r w:rsidR="000B184F" w:rsidRPr="0018313C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GB"/>
              </w:rPr>
              <w:t>fornia (2010</w:t>
            </w:r>
            <w:r w:rsidRPr="0018313C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GB"/>
              </w:rPr>
              <w:t>) and New York (2011)</w:t>
            </w:r>
          </w:p>
          <w:p w14:paraId="25E112D2" w14:textId="757CED0F" w:rsidR="00425FA5" w:rsidRPr="00425FA5" w:rsidRDefault="00425FA5" w:rsidP="00425FA5">
            <w:pPr>
              <w:spacing w:before="100" w:after="100"/>
              <w:rPr>
                <w:rFonts w:asciiTheme="majorHAnsi" w:hAnsiTheme="majorHAnsi" w:cs="Arial"/>
                <w:color w:val="17365D" w:themeColor="text2" w:themeShade="BF"/>
                <w:sz w:val="22"/>
                <w:szCs w:val="22"/>
                <w:lang w:val="en-GB"/>
              </w:rPr>
            </w:pPr>
            <w:r w:rsidRPr="0018313C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GB"/>
              </w:rPr>
              <w:t>Member in the American Society of International Law, International Institute of Space Law and the Royal Aeronautical Society</w:t>
            </w:r>
          </w:p>
        </w:tc>
      </w:tr>
      <w:tr w:rsidR="006B2C93" w:rsidRPr="00C872A7" w14:paraId="106E7412" w14:textId="77777777" w:rsidTr="00AA5534">
        <w:trPr>
          <w:cantSplit/>
          <w:trHeight w:val="26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2AD65D" w14:textId="58BCE72E" w:rsidR="006B2C93" w:rsidRPr="009B3CCE" w:rsidRDefault="006B2C93" w:rsidP="00483DF3">
            <w:pPr>
              <w:spacing w:before="100" w:after="100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</w:pPr>
            <w:r w:rsidRPr="009B3CCE">
              <w:rPr>
                <w:rFonts w:asciiTheme="majorHAnsi" w:hAnsiTheme="majorHAnsi" w:cs="Arial"/>
                <w:b/>
                <w:color w:val="17365D" w:themeColor="text2" w:themeShade="BF"/>
                <w:sz w:val="22"/>
                <w:szCs w:val="22"/>
                <w:lang w:val="en-GB"/>
              </w:rPr>
              <w:t>Publications</w:t>
            </w:r>
          </w:p>
        </w:tc>
      </w:tr>
      <w:tr w:rsidR="006B2C93" w:rsidRPr="00C872A7" w14:paraId="6E5D1CCD" w14:textId="77777777" w:rsidTr="00F271A3">
        <w:trPr>
          <w:cantSplit/>
          <w:trHeight w:val="260"/>
        </w:trPr>
        <w:tc>
          <w:tcPr>
            <w:tcW w:w="10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B2356" w14:textId="061B7875" w:rsidR="00E4365C" w:rsidRPr="002452FF" w:rsidRDefault="00E4365C" w:rsidP="00620D06">
            <w:pPr>
              <w:spacing w:before="120" w:after="1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“</w:t>
            </w:r>
            <w:r w:rsidR="00F11B62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Outer space at 62 miles up: some thoughts on California’s proposed tax law” </w:t>
            </w:r>
            <w:r w:rsidR="002452FF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Space Safety Magazine (Spring 2018) International Association for the Advancement of Space Safety (Forthcoming)</w:t>
            </w:r>
          </w:p>
          <w:p w14:paraId="61FDAAE6" w14:textId="6F0135B1" w:rsidR="006B2C93" w:rsidRPr="002452FF" w:rsidRDefault="006B2C93" w:rsidP="00620D06">
            <w:pPr>
              <w:spacing w:before="120" w:after="1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“Sustainability, Security and Article VI of the Outer Space Treaty” in</w:t>
            </w:r>
            <w:r w:rsidRPr="002452FF">
              <w:rPr>
                <w:rFonts w:asciiTheme="majorHAnsi" w:eastAsiaTheme="minorEastAsia" w:hAnsiTheme="majorHAnsi" w:cs="Arial"/>
                <w:color w:val="424242"/>
                <w:sz w:val="22"/>
                <w:szCs w:val="22"/>
                <w:lang w:val="en-GB"/>
              </w:rPr>
              <w:t xml:space="preserve"> </w:t>
            </w:r>
            <w:r w:rsidR="0013563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R.P. Rajagopalan and N.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Prasad, Eds., </w:t>
            </w:r>
            <w:r w:rsidRPr="002452FF">
              <w:rPr>
                <w:rFonts w:asciiTheme="majorHAnsi" w:eastAsia="Times New Roman" w:hAnsiTheme="majorHAnsi" w:cs="Arial"/>
                <w:bCs/>
                <w:i/>
                <w:sz w:val="22"/>
                <w:szCs w:val="22"/>
                <w:lang w:val="en-GB"/>
              </w:rPr>
              <w:t xml:space="preserve">Space India 2.0: Commerce, Policy, Security and Governance Perspectives 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(New Delhi: Observer Research Foundation,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2017)</w:t>
            </w:r>
            <w:r w:rsidR="00C2259E">
              <w:t xml:space="preserve"> </w:t>
            </w:r>
            <w:hyperlink r:id="rId8" w:history="1">
              <w:r w:rsidR="00C2259E" w:rsidRPr="00920675">
                <w:rPr>
                  <w:rStyle w:val="Hyperlink"/>
                  <w:rFonts w:asciiTheme="majorHAnsi" w:eastAsia="Times New Roman" w:hAnsiTheme="majorHAnsi" w:cs="Arial"/>
                  <w:bCs/>
                  <w:sz w:val="22"/>
                  <w:szCs w:val="22"/>
                  <w:lang w:val="en-GB"/>
                </w:rPr>
                <w:t>https://www.orfonline.org/wp-content/uploads/2017/02/Space2.0_Final_24Feb.pdf</w:t>
              </w:r>
            </w:hyperlink>
            <w:r w:rsidR="00C2259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B921591" w14:textId="6C568279" w:rsidR="006B2C93" w:rsidRPr="002452FF" w:rsidRDefault="00620D06" w:rsidP="00620D06">
            <w:pPr>
              <w:spacing w:before="120" w:after="1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“Private Commercial Space Enterprises and Global Space Governance” (contributing author) </w:t>
            </w:r>
            <w:r w:rsidR="000B52E9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in </w:t>
            </w:r>
            <w:r w:rsidR="009044E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Ram Jakhu and Joseph Pelton, </w:t>
            </w:r>
            <w:r w:rsidR="0013563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E</w:t>
            </w:r>
            <w:r w:rsidR="009044E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ds., </w:t>
            </w:r>
            <w:r w:rsidR="006B2C93" w:rsidRPr="002452FF">
              <w:rPr>
                <w:rFonts w:asciiTheme="majorHAnsi" w:eastAsia="Times New Roman" w:hAnsiTheme="majorHAnsi" w:cs="Arial"/>
                <w:bCs/>
                <w:i/>
                <w:sz w:val="22"/>
                <w:szCs w:val="22"/>
                <w:lang w:val="en-GB"/>
              </w:rPr>
              <w:t>Global Space Governance</w:t>
            </w:r>
            <w:r w:rsidR="009044EE">
              <w:rPr>
                <w:rFonts w:asciiTheme="majorHAnsi" w:eastAsia="Times New Roman" w:hAnsiTheme="majorHAnsi" w:cs="Arial"/>
                <w:bCs/>
                <w:i/>
                <w:sz w:val="22"/>
                <w:szCs w:val="22"/>
                <w:lang w:val="en-GB"/>
              </w:rPr>
              <w:t>: An International Study</w:t>
            </w:r>
            <w:r w:rsidR="006B2C9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0C4937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(Springer</w:t>
            </w:r>
            <w:r w:rsidR="00F271A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, 2017) </w:t>
            </w:r>
            <w:r w:rsidR="003A6C05">
              <w:t xml:space="preserve"> </w:t>
            </w:r>
            <w:hyperlink r:id="rId9" w:history="1">
              <w:r w:rsidR="003A6C05" w:rsidRPr="00920675">
                <w:rPr>
                  <w:rStyle w:val="Hyperlink"/>
                  <w:rFonts w:asciiTheme="majorHAnsi" w:eastAsia="Times New Roman" w:hAnsiTheme="majorHAnsi" w:cs="Arial"/>
                  <w:bCs/>
                  <w:sz w:val="22"/>
                  <w:szCs w:val="22"/>
                  <w:lang w:val="en-GB"/>
                </w:rPr>
                <w:t>https://www.springer.com/de/book/9783319543635</w:t>
              </w:r>
            </w:hyperlink>
          </w:p>
          <w:p w14:paraId="0E52379E" w14:textId="3EE136B7" w:rsidR="006B2C93" w:rsidRPr="002452FF" w:rsidRDefault="006B2C93" w:rsidP="00620D06">
            <w:pPr>
              <w:spacing w:before="120" w:after="1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"Space Traffic Management: Stratospheric Thinking" Managing the Skies (September/October 2016 edition) FAA Managers Association, </w:t>
            </w:r>
            <w:hyperlink r:id="rId10" w:history="1">
              <w:r w:rsidR="00892D36" w:rsidRPr="00304B28">
                <w:rPr>
                  <w:rStyle w:val="Hyperlink"/>
                  <w:rFonts w:asciiTheme="majorHAnsi" w:eastAsia="Times New Roman" w:hAnsiTheme="majorHAnsi" w:cs="Arial"/>
                  <w:bCs/>
                  <w:sz w:val="22"/>
                  <w:szCs w:val="22"/>
                  <w:lang w:val="en-GB"/>
                </w:rPr>
                <w:t>https://www.managingtheskies.com</w:t>
              </w:r>
            </w:hyperlink>
          </w:p>
          <w:p w14:paraId="032C5702" w14:textId="486788A8" w:rsidR="006B2C93" w:rsidRPr="002452FF" w:rsidRDefault="006B2C93" w:rsidP="00620D06">
            <w:pPr>
              <w:spacing w:before="120" w:after="1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"Air and Space Law in the Context of Globalization and Fragmentation" McGill University Library (2016) </w:t>
            </w:r>
            <w:hyperlink r:id="rId11" w:history="1">
              <w:r w:rsidR="00892D36" w:rsidRPr="00304B28">
                <w:rPr>
                  <w:rStyle w:val="Hyperlink"/>
                  <w:rFonts w:asciiTheme="majorHAnsi" w:eastAsia="Times New Roman" w:hAnsiTheme="majorHAnsi" w:cs="Arial"/>
                  <w:bCs/>
                  <w:sz w:val="22"/>
                  <w:szCs w:val="22"/>
                  <w:lang w:val="en-GB"/>
                </w:rPr>
                <w:t>http://digitool.library.mcgill.ca/R/-?func=dbin-jump-full&amp;object_id=139896&amp;silo_library=GEN01</w:t>
              </w:r>
            </w:hyperlink>
            <w:r w:rsidR="00892D36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7129A74" w14:textId="0DCD2D1C" w:rsidR="006B2C93" w:rsidRPr="002452FF" w:rsidRDefault="006B2C93" w:rsidP="00620D06">
            <w:pPr>
              <w:spacing w:before="120" w:after="120"/>
              <w:rPr>
                <w:rFonts w:asciiTheme="majorHAnsi" w:eastAsia="Times New Roman" w:hAnsiTheme="majorHAnsi" w:cs="Arial"/>
                <w:bCs/>
                <w:i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“The Effects of Fragmentation of International Law on Aerospace Regulation” (2016) 58 Pr</w:t>
            </w:r>
            <w:r w:rsidR="009B34E2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oc. Int’l Institute Space L 53</w:t>
            </w:r>
          </w:p>
          <w:p w14:paraId="7FBC2CDB" w14:textId="46D2094B" w:rsidR="006B2C93" w:rsidRPr="002452FF" w:rsidRDefault="006B2C93" w:rsidP="00620D06">
            <w:pPr>
              <w:spacing w:before="120" w:after="1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i/>
                <w:sz w:val="22"/>
                <w:szCs w:val="22"/>
                <w:lang w:val="en-GB"/>
              </w:rPr>
              <w:t>Space Security Index</w:t>
            </w: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, Project Ploughshares (</w:t>
            </w:r>
            <w:r w:rsidR="007A623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2015) </w:t>
            </w:r>
            <w:r w:rsidR="009044EE">
              <w:t xml:space="preserve"> </w:t>
            </w:r>
            <w:hyperlink r:id="rId12" w:history="1">
              <w:r w:rsidR="009044EE" w:rsidRPr="00920675">
                <w:rPr>
                  <w:rStyle w:val="Hyperlink"/>
                  <w:rFonts w:asciiTheme="majorHAnsi" w:eastAsia="Times New Roman" w:hAnsiTheme="majorHAnsi" w:cs="Arial"/>
                  <w:bCs/>
                  <w:sz w:val="22"/>
                  <w:szCs w:val="22"/>
                  <w:lang w:val="en-GB"/>
                </w:rPr>
                <w:t>http://spacesecurityindex.org/wp-content/uploads/2015/06/executive.summary.2015-electronic.pdf</w:t>
              </w:r>
            </w:hyperlink>
            <w:r w:rsidR="009044EE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  <w:r w:rsidR="007A623D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(</w:t>
            </w:r>
            <w:r w:rsidR="007A623D" w:rsidRPr="007A623D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>Lead drafter for indicators examining space-based global utilities, priorities/funding levels of national space agencies and international cooperation in space activities</w:t>
            </w:r>
            <w:r w:rsidR="007A623D">
              <w:rPr>
                <w:rFonts w:asciiTheme="majorHAnsi" w:eastAsia="Times New Roman" w:hAnsiTheme="majorHAnsi" w:cs="Arial"/>
                <w:bCs/>
                <w:sz w:val="22"/>
                <w:szCs w:val="22"/>
              </w:rPr>
              <w:t>)</w:t>
            </w:r>
          </w:p>
          <w:p w14:paraId="7111C0CC" w14:textId="442AA8AF" w:rsidR="006B2C93" w:rsidRPr="002452FF" w:rsidRDefault="006B2C93" w:rsidP="00620D06">
            <w:pPr>
              <w:spacing w:before="120" w:after="120"/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"The ASTEROIDS Act and Hearing: Some observations on international obligations," The Space Review (22 Sept 2014) </w:t>
            </w:r>
            <w:hyperlink r:id="rId13" w:history="1">
              <w:r w:rsidR="00892D36" w:rsidRPr="00304B28">
                <w:rPr>
                  <w:rStyle w:val="Hyperlink"/>
                  <w:rFonts w:asciiTheme="majorHAnsi" w:eastAsia="Times New Roman" w:hAnsiTheme="majorHAnsi" w:cs="Arial"/>
                  <w:bCs/>
                  <w:sz w:val="22"/>
                  <w:szCs w:val="22"/>
                  <w:lang w:val="en-GB"/>
                </w:rPr>
                <w:t>http://www.thespacereview.com/article/2604/1</w:t>
              </w:r>
            </w:hyperlink>
            <w:r w:rsidR="00892D36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39543409" w14:textId="7E275078" w:rsidR="006B2C93" w:rsidRPr="002452FF" w:rsidRDefault="006B2C93" w:rsidP="00620D06">
            <w:pPr>
              <w:spacing w:before="120" w:after="120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val="en-GB"/>
              </w:rPr>
            </w:pPr>
            <w:r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"International and U.S. National Laws Affecting Commercial Space Tourism: How ITAR tips the balance struck between in</w:t>
            </w:r>
            <w:r w:rsidR="00F271A3" w:rsidRPr="002452FF">
              <w:rPr>
                <w:rFonts w:asciiTheme="majorHAnsi" w:eastAsia="Times New Roman" w:hAnsiTheme="majorHAnsi" w:cs="Arial"/>
                <w:bCs/>
                <w:sz w:val="22"/>
                <w:szCs w:val="22"/>
                <w:lang w:val="en-GB"/>
              </w:rPr>
              <w:t>ternational law and the CSLAA,"</w:t>
            </w:r>
            <w:r w:rsidRPr="002452FF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(2007) 33 J Space Law 245</w:t>
            </w:r>
          </w:p>
        </w:tc>
      </w:tr>
    </w:tbl>
    <w:p w14:paraId="28FDDDC5" w14:textId="77777777" w:rsidR="000F10DB" w:rsidRPr="00C872A7" w:rsidRDefault="000F10DB" w:rsidP="00483DF3">
      <w:pPr>
        <w:spacing w:before="100" w:after="100"/>
        <w:rPr>
          <w:rFonts w:ascii="Arial" w:hAnsi="Arial" w:cs="Arial"/>
          <w:sz w:val="16"/>
          <w:szCs w:val="16"/>
          <w:lang w:val="en-GB"/>
        </w:rPr>
      </w:pPr>
    </w:p>
    <w:sectPr w:rsidR="000F10DB" w:rsidRPr="00C872A7" w:rsidSect="001A5669">
      <w:headerReference w:type="default" r:id="rId14"/>
      <w:footerReference w:type="even" r:id="rId15"/>
      <w:footerReference w:type="default" r:id="rId16"/>
      <w:headerReference w:type="first" r:id="rId17"/>
      <w:pgSz w:w="11909" w:h="16834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49CF" w14:textId="77777777" w:rsidR="002C27F0" w:rsidRDefault="002C27F0" w:rsidP="00EC45F5">
      <w:pPr>
        <w:spacing w:after="0"/>
      </w:pPr>
      <w:r>
        <w:separator/>
      </w:r>
    </w:p>
  </w:endnote>
  <w:endnote w:type="continuationSeparator" w:id="0">
    <w:p w14:paraId="4CFD3777" w14:textId="77777777" w:rsidR="002C27F0" w:rsidRDefault="002C27F0" w:rsidP="00EC45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D48B" w14:textId="77777777" w:rsidR="005C40B1" w:rsidRDefault="005C40B1" w:rsidP="006E1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D9C212" w14:textId="77777777" w:rsidR="005C40B1" w:rsidRDefault="005C40B1" w:rsidP="00845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7ED70" w14:textId="77777777" w:rsidR="005C40B1" w:rsidRDefault="005C40B1" w:rsidP="006E1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13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3CB1DD" w14:textId="77777777" w:rsidR="005C40B1" w:rsidRDefault="005C40B1" w:rsidP="008451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AFC7" w14:textId="77777777" w:rsidR="002C27F0" w:rsidRDefault="002C27F0" w:rsidP="00EC45F5">
      <w:pPr>
        <w:spacing w:after="0"/>
      </w:pPr>
      <w:r>
        <w:separator/>
      </w:r>
    </w:p>
  </w:footnote>
  <w:footnote w:type="continuationSeparator" w:id="0">
    <w:p w14:paraId="7CFA7709" w14:textId="77777777" w:rsidR="002C27F0" w:rsidRDefault="002C27F0" w:rsidP="00EC45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2839" w14:textId="101210BD" w:rsidR="005C40B1" w:rsidRPr="00E97A0E" w:rsidRDefault="005C40B1" w:rsidP="005C40B1">
    <w:pPr>
      <w:spacing w:after="0"/>
      <w:jc w:val="center"/>
      <w:rPr>
        <w:rFonts w:ascii="Arial" w:hAnsi="Arial" w:cs="Arial"/>
        <w:smallCaps/>
        <w:color w:val="1F497D" w:themeColor="text2"/>
        <w:sz w:val="40"/>
        <w:szCs w:val="44"/>
      </w:rPr>
    </w:pPr>
    <w:r w:rsidRPr="00E97A0E">
      <w:rPr>
        <w:rFonts w:ascii="Arial" w:hAnsi="Arial" w:cs="Arial"/>
        <w:color w:val="1F497D" w:themeColor="text2"/>
        <w:sz w:val="40"/>
        <w:szCs w:val="44"/>
      </w:rPr>
      <w:t>C</w:t>
    </w:r>
    <w:r w:rsidRPr="00E97A0E">
      <w:rPr>
        <w:rFonts w:ascii="Arial" w:hAnsi="Arial" w:cs="Arial"/>
        <w:smallCaps/>
        <w:color w:val="1F497D" w:themeColor="text2"/>
        <w:sz w:val="40"/>
        <w:szCs w:val="44"/>
      </w:rPr>
      <w:t>harles Stotler</w:t>
    </w:r>
  </w:p>
  <w:p w14:paraId="1E86FC16" w14:textId="6253C0BA" w:rsidR="005C40B1" w:rsidRPr="002A6275" w:rsidRDefault="00BD2769" w:rsidP="00E531C4">
    <w:pPr>
      <w:spacing w:after="0"/>
      <w:jc w:val="center"/>
      <w:rPr>
        <w:rFonts w:ascii="Arial" w:hAnsi="Arial" w:cs="Arial"/>
        <w:color w:val="1F497D" w:themeColor="text2"/>
        <w:sz w:val="20"/>
        <w:szCs w:val="22"/>
      </w:rPr>
    </w:pPr>
    <w:r>
      <w:rPr>
        <w:rFonts w:ascii="Arial" w:hAnsi="Arial" w:cs="Arial"/>
        <w:color w:val="1F497D" w:themeColor="text2"/>
        <w:sz w:val="20"/>
        <w:szCs w:val="22"/>
      </w:rPr>
      <w:t>charles.stotler@mail.mcgill</w:t>
    </w:r>
    <w:r w:rsidR="005C40B1">
      <w:rPr>
        <w:rFonts w:ascii="Arial" w:hAnsi="Arial" w:cs="Arial"/>
        <w:color w:val="1F497D" w:themeColor="text2"/>
        <w:sz w:val="20"/>
        <w:szCs w:val="22"/>
      </w:rPr>
      <w:t>.com</w:t>
    </w:r>
    <w:r w:rsidR="005C40B1" w:rsidRPr="002A6275">
      <w:rPr>
        <w:rFonts w:ascii="Arial" w:hAnsi="Arial" w:cs="Arial"/>
        <w:color w:val="1F497D" w:themeColor="text2"/>
        <w:sz w:val="20"/>
        <w:szCs w:val="22"/>
      </w:rPr>
      <w:t xml:space="preserve"> ·</w:t>
    </w:r>
    <w:r w:rsidR="005C40B1">
      <w:rPr>
        <w:rFonts w:ascii="Arial" w:hAnsi="Arial" w:cs="Arial"/>
        <w:color w:val="1F497D" w:themeColor="text2"/>
        <w:sz w:val="20"/>
        <w:szCs w:val="22"/>
      </w:rPr>
      <w:t xml:space="preserve"> </w:t>
    </w:r>
    <w:r>
      <w:rPr>
        <w:rFonts w:ascii="Arial" w:hAnsi="Arial" w:cs="Arial"/>
        <w:color w:val="1F497D" w:themeColor="text2"/>
        <w:sz w:val="20"/>
        <w:szCs w:val="22"/>
      </w:rPr>
      <w:t>+41 78 781 7026</w:t>
    </w:r>
  </w:p>
  <w:p w14:paraId="3B81A7F1" w14:textId="77777777" w:rsidR="005C40B1" w:rsidRDefault="005C4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18FA" w14:textId="77777777" w:rsidR="005C40B1" w:rsidRPr="0018313C" w:rsidRDefault="005C40B1" w:rsidP="00E97A0E">
    <w:pPr>
      <w:spacing w:after="0"/>
      <w:jc w:val="center"/>
      <w:rPr>
        <w:rFonts w:ascii="Arial" w:hAnsi="Arial" w:cs="Arial"/>
        <w:smallCaps/>
        <w:color w:val="1F497D" w:themeColor="text2"/>
        <w:sz w:val="40"/>
        <w:szCs w:val="44"/>
      </w:rPr>
    </w:pPr>
    <w:r w:rsidRPr="0018313C">
      <w:rPr>
        <w:rFonts w:ascii="Arial" w:hAnsi="Arial" w:cs="Arial"/>
        <w:color w:val="1F497D" w:themeColor="text2"/>
        <w:sz w:val="40"/>
        <w:szCs w:val="44"/>
      </w:rPr>
      <w:t>C</w:t>
    </w:r>
    <w:r w:rsidRPr="0018313C">
      <w:rPr>
        <w:rFonts w:ascii="Arial" w:hAnsi="Arial" w:cs="Arial"/>
        <w:smallCaps/>
        <w:color w:val="1F497D" w:themeColor="text2"/>
        <w:sz w:val="40"/>
        <w:szCs w:val="44"/>
      </w:rPr>
      <w:t>harles Stotler</w:t>
    </w:r>
  </w:p>
  <w:p w14:paraId="5E8CB194" w14:textId="1F60571B" w:rsidR="002452FF" w:rsidRPr="00B65D6A" w:rsidRDefault="005C40B1" w:rsidP="002452FF">
    <w:pPr>
      <w:spacing w:after="0"/>
      <w:jc w:val="center"/>
      <w:rPr>
        <w:rFonts w:ascii="Arial" w:hAnsi="Arial" w:cs="Arial"/>
        <w:color w:val="1F497D" w:themeColor="text2"/>
        <w:sz w:val="20"/>
        <w:szCs w:val="22"/>
      </w:rPr>
    </w:pPr>
    <w:r w:rsidRPr="002A6275">
      <w:rPr>
        <w:rFonts w:ascii="Arial" w:hAnsi="Arial" w:cs="Arial"/>
        <w:color w:val="1F497D" w:themeColor="text2"/>
        <w:sz w:val="20"/>
        <w:szCs w:val="22"/>
      </w:rPr>
      <w:t>charles.stotler@</w:t>
    </w:r>
    <w:r w:rsidR="006B2C93">
      <w:rPr>
        <w:rFonts w:ascii="Arial" w:hAnsi="Arial" w:cs="Arial"/>
        <w:color w:val="1F497D" w:themeColor="text2"/>
        <w:sz w:val="20"/>
        <w:szCs w:val="22"/>
      </w:rPr>
      <w:t>mail.mcgill.ca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3AB"/>
    <w:multiLevelType w:val="hybridMultilevel"/>
    <w:tmpl w:val="270C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5E61"/>
    <w:multiLevelType w:val="hybridMultilevel"/>
    <w:tmpl w:val="09A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F41A1"/>
    <w:multiLevelType w:val="hybridMultilevel"/>
    <w:tmpl w:val="F8A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2D1E"/>
    <w:multiLevelType w:val="hybridMultilevel"/>
    <w:tmpl w:val="0AC2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450C"/>
    <w:multiLevelType w:val="hybridMultilevel"/>
    <w:tmpl w:val="220C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0BC8"/>
    <w:multiLevelType w:val="hybridMultilevel"/>
    <w:tmpl w:val="3880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C218F"/>
    <w:multiLevelType w:val="hybridMultilevel"/>
    <w:tmpl w:val="2D6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A66"/>
    <w:multiLevelType w:val="hybridMultilevel"/>
    <w:tmpl w:val="F320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C47EB"/>
    <w:multiLevelType w:val="hybridMultilevel"/>
    <w:tmpl w:val="3BBC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7EB6"/>
    <w:multiLevelType w:val="hybridMultilevel"/>
    <w:tmpl w:val="BAF260E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B4C53E6"/>
    <w:multiLevelType w:val="hybridMultilevel"/>
    <w:tmpl w:val="CFBE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2B"/>
    <w:rsid w:val="00001421"/>
    <w:rsid w:val="000033CC"/>
    <w:rsid w:val="0001452B"/>
    <w:rsid w:val="000265F5"/>
    <w:rsid w:val="00040E36"/>
    <w:rsid w:val="00047D2A"/>
    <w:rsid w:val="000519C0"/>
    <w:rsid w:val="000540E1"/>
    <w:rsid w:val="00066A55"/>
    <w:rsid w:val="00072F3E"/>
    <w:rsid w:val="00091021"/>
    <w:rsid w:val="000A711B"/>
    <w:rsid w:val="000A788B"/>
    <w:rsid w:val="000B184F"/>
    <w:rsid w:val="000B52E9"/>
    <w:rsid w:val="000B7FEC"/>
    <w:rsid w:val="000C3B1A"/>
    <w:rsid w:val="000C4937"/>
    <w:rsid w:val="000D20C8"/>
    <w:rsid w:val="000D2987"/>
    <w:rsid w:val="000E4BF6"/>
    <w:rsid w:val="000E6F37"/>
    <w:rsid w:val="000F10DB"/>
    <w:rsid w:val="000F1805"/>
    <w:rsid w:val="000F6B34"/>
    <w:rsid w:val="000F7575"/>
    <w:rsid w:val="00116296"/>
    <w:rsid w:val="00117187"/>
    <w:rsid w:val="001331A4"/>
    <w:rsid w:val="00135632"/>
    <w:rsid w:val="00135F2C"/>
    <w:rsid w:val="001372D5"/>
    <w:rsid w:val="00145884"/>
    <w:rsid w:val="00147AC9"/>
    <w:rsid w:val="00156AF3"/>
    <w:rsid w:val="00161D9E"/>
    <w:rsid w:val="001672F0"/>
    <w:rsid w:val="00170CDD"/>
    <w:rsid w:val="0018313C"/>
    <w:rsid w:val="00193D91"/>
    <w:rsid w:val="001A5669"/>
    <w:rsid w:val="001B0E1E"/>
    <w:rsid w:val="001B62EF"/>
    <w:rsid w:val="001C07D9"/>
    <w:rsid w:val="001C0977"/>
    <w:rsid w:val="001C52E3"/>
    <w:rsid w:val="001D3F03"/>
    <w:rsid w:val="001D6A68"/>
    <w:rsid w:val="001D6BD7"/>
    <w:rsid w:val="001E1F4C"/>
    <w:rsid w:val="001E5B58"/>
    <w:rsid w:val="001F2FA0"/>
    <w:rsid w:val="002074BB"/>
    <w:rsid w:val="002078F0"/>
    <w:rsid w:val="002143E0"/>
    <w:rsid w:val="00215CFB"/>
    <w:rsid w:val="00217544"/>
    <w:rsid w:val="00221614"/>
    <w:rsid w:val="0023307D"/>
    <w:rsid w:val="002452FF"/>
    <w:rsid w:val="00265468"/>
    <w:rsid w:val="00270754"/>
    <w:rsid w:val="002850EC"/>
    <w:rsid w:val="00286EA4"/>
    <w:rsid w:val="00287717"/>
    <w:rsid w:val="00290E58"/>
    <w:rsid w:val="002A057F"/>
    <w:rsid w:val="002A5B5A"/>
    <w:rsid w:val="002A6275"/>
    <w:rsid w:val="002B1E89"/>
    <w:rsid w:val="002C27F0"/>
    <w:rsid w:val="002C2EEE"/>
    <w:rsid w:val="002D74B0"/>
    <w:rsid w:val="002E078A"/>
    <w:rsid w:val="002E0C6B"/>
    <w:rsid w:val="00302710"/>
    <w:rsid w:val="00305F7F"/>
    <w:rsid w:val="00311142"/>
    <w:rsid w:val="00324CCD"/>
    <w:rsid w:val="00327BB1"/>
    <w:rsid w:val="00327DC1"/>
    <w:rsid w:val="00332F75"/>
    <w:rsid w:val="00333FD8"/>
    <w:rsid w:val="00337D4D"/>
    <w:rsid w:val="00341FE9"/>
    <w:rsid w:val="003426AF"/>
    <w:rsid w:val="00342A2F"/>
    <w:rsid w:val="00343D93"/>
    <w:rsid w:val="003669A1"/>
    <w:rsid w:val="00383143"/>
    <w:rsid w:val="00391507"/>
    <w:rsid w:val="003959F8"/>
    <w:rsid w:val="003A44DF"/>
    <w:rsid w:val="003A6241"/>
    <w:rsid w:val="003A6C05"/>
    <w:rsid w:val="003B2767"/>
    <w:rsid w:val="003C5D1F"/>
    <w:rsid w:val="003D0CC2"/>
    <w:rsid w:val="003D335E"/>
    <w:rsid w:val="003E3EDF"/>
    <w:rsid w:val="003E5E6B"/>
    <w:rsid w:val="003F6A8B"/>
    <w:rsid w:val="00405F40"/>
    <w:rsid w:val="0041324D"/>
    <w:rsid w:val="00425FA5"/>
    <w:rsid w:val="00437182"/>
    <w:rsid w:val="0044168F"/>
    <w:rsid w:val="0044364A"/>
    <w:rsid w:val="0044553E"/>
    <w:rsid w:val="004560C2"/>
    <w:rsid w:val="00456390"/>
    <w:rsid w:val="00460C00"/>
    <w:rsid w:val="00472242"/>
    <w:rsid w:val="00483BE2"/>
    <w:rsid w:val="00483DF3"/>
    <w:rsid w:val="004926AD"/>
    <w:rsid w:val="00492EB6"/>
    <w:rsid w:val="00493A7A"/>
    <w:rsid w:val="004947DB"/>
    <w:rsid w:val="00495205"/>
    <w:rsid w:val="004B062B"/>
    <w:rsid w:val="004C0FEA"/>
    <w:rsid w:val="004D0BF1"/>
    <w:rsid w:val="004D0CBF"/>
    <w:rsid w:val="004D1A8A"/>
    <w:rsid w:val="004E367F"/>
    <w:rsid w:val="004E73E4"/>
    <w:rsid w:val="004E7A4F"/>
    <w:rsid w:val="004F0638"/>
    <w:rsid w:val="0050274B"/>
    <w:rsid w:val="00505B4D"/>
    <w:rsid w:val="00512059"/>
    <w:rsid w:val="00513C4E"/>
    <w:rsid w:val="005147D9"/>
    <w:rsid w:val="005218AB"/>
    <w:rsid w:val="00523517"/>
    <w:rsid w:val="0053174F"/>
    <w:rsid w:val="00550FF3"/>
    <w:rsid w:val="005559B8"/>
    <w:rsid w:val="0056100E"/>
    <w:rsid w:val="0056152F"/>
    <w:rsid w:val="00575EA9"/>
    <w:rsid w:val="00590D3B"/>
    <w:rsid w:val="00594888"/>
    <w:rsid w:val="00595E1D"/>
    <w:rsid w:val="005B1E87"/>
    <w:rsid w:val="005C40B1"/>
    <w:rsid w:val="005D1865"/>
    <w:rsid w:val="005F1590"/>
    <w:rsid w:val="00602877"/>
    <w:rsid w:val="00620D06"/>
    <w:rsid w:val="006217DF"/>
    <w:rsid w:val="00626B3C"/>
    <w:rsid w:val="0064711F"/>
    <w:rsid w:val="00651F33"/>
    <w:rsid w:val="00665B2A"/>
    <w:rsid w:val="00674F51"/>
    <w:rsid w:val="0069511B"/>
    <w:rsid w:val="006B0958"/>
    <w:rsid w:val="006B143B"/>
    <w:rsid w:val="006B2C93"/>
    <w:rsid w:val="006B4AFF"/>
    <w:rsid w:val="006C1281"/>
    <w:rsid w:val="006C1E3C"/>
    <w:rsid w:val="006C3022"/>
    <w:rsid w:val="006C4152"/>
    <w:rsid w:val="006D79C4"/>
    <w:rsid w:val="006E1EAB"/>
    <w:rsid w:val="006E4400"/>
    <w:rsid w:val="006F7C1D"/>
    <w:rsid w:val="007175AE"/>
    <w:rsid w:val="0072706E"/>
    <w:rsid w:val="0073386C"/>
    <w:rsid w:val="007368FF"/>
    <w:rsid w:val="00747F2E"/>
    <w:rsid w:val="007504DB"/>
    <w:rsid w:val="00751CE4"/>
    <w:rsid w:val="0075356F"/>
    <w:rsid w:val="007847E1"/>
    <w:rsid w:val="00795EF0"/>
    <w:rsid w:val="007A60E9"/>
    <w:rsid w:val="007A623D"/>
    <w:rsid w:val="007C1B0D"/>
    <w:rsid w:val="007C65B1"/>
    <w:rsid w:val="007D22C0"/>
    <w:rsid w:val="007D5E5F"/>
    <w:rsid w:val="007E0690"/>
    <w:rsid w:val="007E1B4A"/>
    <w:rsid w:val="007F4C6A"/>
    <w:rsid w:val="0080768B"/>
    <w:rsid w:val="0081678E"/>
    <w:rsid w:val="00836EA4"/>
    <w:rsid w:val="008379CE"/>
    <w:rsid w:val="0084124F"/>
    <w:rsid w:val="0084243D"/>
    <w:rsid w:val="0084274B"/>
    <w:rsid w:val="0084398C"/>
    <w:rsid w:val="008451FB"/>
    <w:rsid w:val="008476AF"/>
    <w:rsid w:val="00854405"/>
    <w:rsid w:val="00863051"/>
    <w:rsid w:val="00866DF0"/>
    <w:rsid w:val="0087723A"/>
    <w:rsid w:val="00881C82"/>
    <w:rsid w:val="008820CA"/>
    <w:rsid w:val="0088439D"/>
    <w:rsid w:val="00887427"/>
    <w:rsid w:val="00892D36"/>
    <w:rsid w:val="008D0DD4"/>
    <w:rsid w:val="008E014C"/>
    <w:rsid w:val="008E2B46"/>
    <w:rsid w:val="008E64F4"/>
    <w:rsid w:val="009044EE"/>
    <w:rsid w:val="00913435"/>
    <w:rsid w:val="0092516B"/>
    <w:rsid w:val="009254E5"/>
    <w:rsid w:val="00934C3E"/>
    <w:rsid w:val="00947326"/>
    <w:rsid w:val="0094742D"/>
    <w:rsid w:val="00947CAF"/>
    <w:rsid w:val="00951D60"/>
    <w:rsid w:val="00952C33"/>
    <w:rsid w:val="009547CA"/>
    <w:rsid w:val="00955A87"/>
    <w:rsid w:val="00970D84"/>
    <w:rsid w:val="009756C2"/>
    <w:rsid w:val="00984F03"/>
    <w:rsid w:val="00993ADA"/>
    <w:rsid w:val="00997F11"/>
    <w:rsid w:val="009A04D5"/>
    <w:rsid w:val="009A2EA3"/>
    <w:rsid w:val="009A6083"/>
    <w:rsid w:val="009B0BDC"/>
    <w:rsid w:val="009B1518"/>
    <w:rsid w:val="009B34E2"/>
    <w:rsid w:val="009B3CCE"/>
    <w:rsid w:val="009B49D7"/>
    <w:rsid w:val="009C7A03"/>
    <w:rsid w:val="009E3348"/>
    <w:rsid w:val="009E566C"/>
    <w:rsid w:val="009F1099"/>
    <w:rsid w:val="00A0484F"/>
    <w:rsid w:val="00A30B44"/>
    <w:rsid w:val="00A4345F"/>
    <w:rsid w:val="00A44228"/>
    <w:rsid w:val="00A522C0"/>
    <w:rsid w:val="00A61E01"/>
    <w:rsid w:val="00A6784A"/>
    <w:rsid w:val="00A67A15"/>
    <w:rsid w:val="00A71EA9"/>
    <w:rsid w:val="00A7501E"/>
    <w:rsid w:val="00A75068"/>
    <w:rsid w:val="00A82113"/>
    <w:rsid w:val="00A83F64"/>
    <w:rsid w:val="00A90422"/>
    <w:rsid w:val="00A92CDB"/>
    <w:rsid w:val="00A97559"/>
    <w:rsid w:val="00AA5534"/>
    <w:rsid w:val="00AA55B0"/>
    <w:rsid w:val="00AB437C"/>
    <w:rsid w:val="00AC6017"/>
    <w:rsid w:val="00AD0A1A"/>
    <w:rsid w:val="00AD2609"/>
    <w:rsid w:val="00AE2523"/>
    <w:rsid w:val="00AF0832"/>
    <w:rsid w:val="00B0645F"/>
    <w:rsid w:val="00B128EE"/>
    <w:rsid w:val="00B260D0"/>
    <w:rsid w:val="00B27D8A"/>
    <w:rsid w:val="00B33642"/>
    <w:rsid w:val="00B42369"/>
    <w:rsid w:val="00B42D12"/>
    <w:rsid w:val="00B43A31"/>
    <w:rsid w:val="00B44996"/>
    <w:rsid w:val="00B45316"/>
    <w:rsid w:val="00B54B25"/>
    <w:rsid w:val="00B60097"/>
    <w:rsid w:val="00B61316"/>
    <w:rsid w:val="00B65C18"/>
    <w:rsid w:val="00B65D6A"/>
    <w:rsid w:val="00B91966"/>
    <w:rsid w:val="00B958C0"/>
    <w:rsid w:val="00B95992"/>
    <w:rsid w:val="00BA3301"/>
    <w:rsid w:val="00BC5EF0"/>
    <w:rsid w:val="00BD2769"/>
    <w:rsid w:val="00BF2E25"/>
    <w:rsid w:val="00C13ECB"/>
    <w:rsid w:val="00C2259E"/>
    <w:rsid w:val="00C26270"/>
    <w:rsid w:val="00C27964"/>
    <w:rsid w:val="00C313A2"/>
    <w:rsid w:val="00C3292B"/>
    <w:rsid w:val="00C45B45"/>
    <w:rsid w:val="00C61B74"/>
    <w:rsid w:val="00C70AC9"/>
    <w:rsid w:val="00C74394"/>
    <w:rsid w:val="00C872A7"/>
    <w:rsid w:val="00C87CFA"/>
    <w:rsid w:val="00C92CDD"/>
    <w:rsid w:val="00CB1508"/>
    <w:rsid w:val="00CB1582"/>
    <w:rsid w:val="00CB5AAA"/>
    <w:rsid w:val="00CC6D06"/>
    <w:rsid w:val="00CD271A"/>
    <w:rsid w:val="00CD3C86"/>
    <w:rsid w:val="00CF2676"/>
    <w:rsid w:val="00CF304D"/>
    <w:rsid w:val="00D07E50"/>
    <w:rsid w:val="00D126A8"/>
    <w:rsid w:val="00D330ED"/>
    <w:rsid w:val="00D33412"/>
    <w:rsid w:val="00D36C52"/>
    <w:rsid w:val="00D4738E"/>
    <w:rsid w:val="00D47952"/>
    <w:rsid w:val="00D57E7D"/>
    <w:rsid w:val="00D61266"/>
    <w:rsid w:val="00D659CC"/>
    <w:rsid w:val="00D7069D"/>
    <w:rsid w:val="00D73814"/>
    <w:rsid w:val="00D7769B"/>
    <w:rsid w:val="00D82E94"/>
    <w:rsid w:val="00DA3068"/>
    <w:rsid w:val="00DA4D48"/>
    <w:rsid w:val="00DB0894"/>
    <w:rsid w:val="00DC7A5C"/>
    <w:rsid w:val="00DD154E"/>
    <w:rsid w:val="00DE0AC6"/>
    <w:rsid w:val="00DE0EAF"/>
    <w:rsid w:val="00DE5F5C"/>
    <w:rsid w:val="00E07B4E"/>
    <w:rsid w:val="00E10006"/>
    <w:rsid w:val="00E21019"/>
    <w:rsid w:val="00E2545C"/>
    <w:rsid w:val="00E26EC2"/>
    <w:rsid w:val="00E32E20"/>
    <w:rsid w:val="00E4365C"/>
    <w:rsid w:val="00E4606A"/>
    <w:rsid w:val="00E471EB"/>
    <w:rsid w:val="00E531C4"/>
    <w:rsid w:val="00E56290"/>
    <w:rsid w:val="00E578FC"/>
    <w:rsid w:val="00E6658D"/>
    <w:rsid w:val="00E740FE"/>
    <w:rsid w:val="00E7677A"/>
    <w:rsid w:val="00E917DE"/>
    <w:rsid w:val="00E97A0E"/>
    <w:rsid w:val="00EA6880"/>
    <w:rsid w:val="00EC1156"/>
    <w:rsid w:val="00EC45F5"/>
    <w:rsid w:val="00ED0465"/>
    <w:rsid w:val="00EE3A17"/>
    <w:rsid w:val="00EF0DFD"/>
    <w:rsid w:val="00EF305A"/>
    <w:rsid w:val="00EF6314"/>
    <w:rsid w:val="00F11B62"/>
    <w:rsid w:val="00F1297C"/>
    <w:rsid w:val="00F23E9E"/>
    <w:rsid w:val="00F271A3"/>
    <w:rsid w:val="00F3401F"/>
    <w:rsid w:val="00F47AFD"/>
    <w:rsid w:val="00F56818"/>
    <w:rsid w:val="00F6691F"/>
    <w:rsid w:val="00F71DA0"/>
    <w:rsid w:val="00F751C5"/>
    <w:rsid w:val="00F824A1"/>
    <w:rsid w:val="00FA1297"/>
    <w:rsid w:val="00FA6F34"/>
    <w:rsid w:val="00FB5875"/>
    <w:rsid w:val="00FC50DC"/>
    <w:rsid w:val="00FD2E2B"/>
    <w:rsid w:val="00FD6DC9"/>
    <w:rsid w:val="00FE6DC8"/>
    <w:rsid w:val="00FF2787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58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E2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68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C45F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C45F5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EC45F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0E1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51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51F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51FB"/>
  </w:style>
  <w:style w:type="paragraph" w:styleId="Header">
    <w:name w:val="header"/>
    <w:basedOn w:val="Normal"/>
    <w:link w:val="HeaderChar"/>
    <w:uiPriority w:val="99"/>
    <w:unhideWhenUsed/>
    <w:rsid w:val="00C45B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5B45"/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FF2787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fonline.org/wp-content/uploads/2017/02/Space2.0_Final_24Feb.pdf" TargetMode="External"/><Relationship Id="rId13" Type="http://schemas.openxmlformats.org/officeDocument/2006/relationships/hyperlink" Target="http://www.thespacereview.com/article/2604/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acesecurityindex.org/wp-content/uploads/2015/06/executive.summary.2015-electronic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ool.library.mcgill.ca/R/-?func=dbin-jump-full&amp;object_id=139896&amp;silo_library=GEN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nagingtheskie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pringer.com/de/book/97833195436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4C335-F832-834B-9B4A-9F74D71B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 Stotler</dc:creator>
  <cp:lastModifiedBy>cstotler@olemiss.edu</cp:lastModifiedBy>
  <cp:revision>2</cp:revision>
  <cp:lastPrinted>2018-01-26T09:21:00Z</cp:lastPrinted>
  <dcterms:created xsi:type="dcterms:W3CDTF">2018-08-07T18:03:00Z</dcterms:created>
  <dcterms:modified xsi:type="dcterms:W3CDTF">2018-08-07T18:03:00Z</dcterms:modified>
</cp:coreProperties>
</file>